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 xml:space="preserve">27                        </w:t>
      </w:r>
      <w:r>
        <w:rPr>
          <w:rFonts w:hint="eastAsia" w:ascii="Segoe UI" w:hAnsi="Segoe UI" w:eastAsia="等线" w:cs="Segoe UI"/>
          <w:color w:val="000000"/>
          <w:sz w:val="22"/>
          <w:szCs w:val="22"/>
          <w:lang w:val="en-US" w:eastAsia="zh-CN" w:bidi="ar"/>
        </w:rPr>
        <w:t>R2-2407025</w:t>
      </w:r>
    </w:p>
    <w:p>
      <w:pPr>
        <w:pStyle w:val="8"/>
        <w:rPr>
          <w:rFonts w:hint="eastAsia" w:eastAsia="宋体"/>
          <w:lang w:val="en-US" w:eastAsia="zh-CN"/>
        </w:rPr>
      </w:pPr>
      <w:r>
        <w:rPr>
          <w:rFonts w:hint="eastAsia" w:eastAsia="宋体"/>
          <w:lang w:val="en-US" w:eastAsia="zh-CN"/>
        </w:rPr>
        <w:t>Maastricht</w:t>
      </w:r>
      <w:r>
        <w:t xml:space="preserve">, </w:t>
      </w:r>
      <w:r>
        <w:rPr>
          <w:rFonts w:hint="eastAsia" w:eastAsia="宋体"/>
          <w:lang w:val="en-US" w:eastAsia="zh-CN"/>
        </w:rPr>
        <w:t>Netherlands</w:t>
      </w:r>
      <w:r>
        <w:t xml:space="preserve">, </w:t>
      </w:r>
      <w:r>
        <w:rPr>
          <w:rFonts w:hint="eastAsia" w:eastAsia="宋体"/>
          <w:lang w:val="en-US" w:eastAsia="zh-CN"/>
        </w:rPr>
        <w:t>Aug.19</w:t>
      </w:r>
      <w:r>
        <w:rPr>
          <w:rFonts w:hint="eastAsia" w:eastAsia="宋体"/>
          <w:vertAlign w:val="superscript"/>
          <w:lang w:val="en-US" w:eastAsia="zh-CN"/>
        </w:rPr>
        <w:t>th</w:t>
      </w:r>
      <w:r>
        <w:rPr>
          <w:b/>
          <w:bCs/>
          <w:sz w:val="24"/>
          <w:vertAlign w:val="superscript"/>
        </w:rPr>
        <w:t xml:space="preserve"> </w:t>
      </w:r>
      <w:r>
        <w:rPr>
          <w:b/>
          <w:bCs/>
          <w:sz w:val="24"/>
        </w:rPr>
        <w:t xml:space="preserve">– </w:t>
      </w:r>
      <w:r>
        <w:rPr>
          <w:rFonts w:hint="eastAsia" w:eastAsia="宋体"/>
          <w:b/>
          <w:bCs/>
          <w:sz w:val="24"/>
          <w:lang w:val="en-US" w:eastAsia="zh-CN"/>
        </w:rPr>
        <w:t>Aug.</w:t>
      </w:r>
      <w:r>
        <w:t xml:space="preserve"> </w:t>
      </w:r>
      <w:r>
        <w:rPr>
          <w:rFonts w:hint="eastAsia" w:eastAsia="宋体"/>
          <w:lang w:val="en-US" w:eastAsia="zh-CN"/>
        </w:rPr>
        <w:t>23</w:t>
      </w:r>
      <w:r>
        <w:rPr>
          <w:rFonts w:hint="eastAsia" w:eastAsia="宋体"/>
          <w:vertAlign w:val="superscript"/>
          <w:lang w:val="en-US" w:eastAsia="zh-CN"/>
        </w:rPr>
        <w:t>rd</w:t>
      </w:r>
      <w:r>
        <w:rPr>
          <w:lang w:val="en-GB"/>
        </w:rPr>
        <w:t>, 202</w:t>
      </w:r>
      <w:r>
        <w:rPr>
          <w:rFonts w:hint="eastAsia" w:eastAsia="宋体"/>
          <w:lang w:val="en-US" w:eastAsia="zh-CN"/>
        </w:rPr>
        <w:t>4</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bookmarkStart w:id="2" w:name="_GoBack"/>
      <w:bookmarkEnd w:id="2"/>
      <w:r>
        <w:rPr>
          <w:rFonts w:cs="Arial"/>
          <w:b/>
          <w:bCs/>
          <w:sz w:val="24"/>
          <w:lang w:val="en-US" w:eastAsia="en-US"/>
        </w:rPr>
        <w:tab/>
      </w:r>
      <w:r>
        <w:rPr>
          <w:rFonts w:hint="eastAsia" w:eastAsia="宋体" w:cs="Arial"/>
          <w:b/>
          <w:bCs/>
          <w:sz w:val="24"/>
          <w:lang w:val="en-US" w:eastAsia="zh-CN"/>
        </w:rPr>
        <w:t>8.6.4</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r>
        <w:rPr>
          <w:rFonts w:hint="eastAsia" w:eastAsia="宋体" w:cs="Arial"/>
          <w:b/>
          <w:bCs/>
          <w:sz w:val="24"/>
          <w:lang w:val="en-US" w:eastAsia="zh-CN"/>
        </w:rPr>
        <w:t>Discussion on L1 measurement reporting for LTM</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p>
    <w:p>
      <w:pPr>
        <w:pStyle w:val="2"/>
        <w:numPr>
          <w:ilvl w:val="0"/>
          <w:numId w:val="3"/>
        </w:numPr>
      </w:pPr>
      <w:bookmarkStart w:id="0" w:name="_Ref488331639"/>
      <w:r>
        <w:t>Introduction</w:t>
      </w:r>
      <w:bookmarkEnd w:id="0"/>
    </w:p>
    <w:p>
      <w:pPr>
        <w:pStyle w:val="6"/>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w:t>
      </w:r>
      <w:r>
        <w:rPr>
          <w:rFonts w:hint="eastAsia" w:cs="Arial" w:eastAsiaTheme="minorEastAsia"/>
          <w:szCs w:val="20"/>
          <w:lang w:val="en-US" w:eastAsia="zh-CN"/>
        </w:rPr>
        <w:t xml:space="preserve">last </w:t>
      </w:r>
      <w:r>
        <w:rPr>
          <w:rFonts w:hint="eastAsia" w:ascii="Arial" w:hAnsi="Arial" w:cs="Arial" w:eastAsiaTheme="minorEastAsia"/>
          <w:szCs w:val="20"/>
          <w:lang w:val="en-US" w:eastAsia="zh-CN"/>
        </w:rPr>
        <w:t>RAN</w:t>
      </w:r>
      <w:r>
        <w:rPr>
          <w:rFonts w:hint="eastAsia" w:cs="Arial" w:eastAsiaTheme="minorEastAsia"/>
          <w:szCs w:val="20"/>
          <w:lang w:val="en-US" w:eastAsia="zh-CN"/>
        </w:rPr>
        <w:t>2</w:t>
      </w:r>
      <w:r>
        <w:rPr>
          <w:rFonts w:hint="eastAsia" w:ascii="Arial" w:hAnsi="Arial" w:cs="Arial" w:eastAsiaTheme="minorEastAsia"/>
          <w:szCs w:val="20"/>
          <w:lang w:val="en-US" w:eastAsia="zh-CN"/>
        </w:rPr>
        <w:t>#1</w:t>
      </w:r>
      <w:r>
        <w:rPr>
          <w:rFonts w:hint="eastAsia" w:cs="Arial" w:eastAsiaTheme="minorEastAsia"/>
          <w:szCs w:val="20"/>
          <w:lang w:val="en-US" w:eastAsia="zh-CN"/>
        </w:rPr>
        <w:t>26</w:t>
      </w:r>
      <w:r>
        <w:rPr>
          <w:rFonts w:hint="eastAsia" w:ascii="Arial" w:hAnsi="Arial" w:cs="Arial" w:eastAsiaTheme="minorEastAsia"/>
          <w:szCs w:val="20"/>
          <w:lang w:val="en-US" w:eastAsia="zh-CN"/>
        </w:rPr>
        <w:t xml:space="preserve"> </w:t>
      </w:r>
      <w:r>
        <w:rPr>
          <w:rFonts w:hint="eastAsia" w:ascii="Arial" w:hAnsi="Arial" w:cs="Arial" w:eastAsiaTheme="minorEastAsia"/>
          <w:szCs w:val="20"/>
          <w:lang w:val="en-GB" w:eastAsia="zh-CN"/>
        </w:rPr>
        <w:t xml:space="preserve">meeting, </w:t>
      </w:r>
      <w:r>
        <w:rPr>
          <w:rFonts w:hint="eastAsia" w:cs="Arial" w:eastAsiaTheme="minorEastAsia"/>
          <w:szCs w:val="20"/>
          <w:lang w:val="en-US" w:eastAsia="zh-CN"/>
        </w:rPr>
        <w:t>the measurement enhancements for LTM was discussed</w:t>
      </w:r>
      <w:r>
        <w:rPr>
          <w:rFonts w:hint="eastAsia" w:ascii="Arial" w:hAnsi="Arial" w:cs="Arial" w:eastAsiaTheme="minorEastAsia"/>
          <w:szCs w:val="20"/>
          <w:lang w:val="en-US" w:eastAsia="zh-CN"/>
        </w:rPr>
        <w:t xml:space="preserve"> and </w:t>
      </w:r>
      <w:r>
        <w:rPr>
          <w:rFonts w:hint="eastAsia" w:cs="Arial" w:eastAsiaTheme="minorEastAsia"/>
          <w:szCs w:val="20"/>
          <w:lang w:val="en-US" w:eastAsia="zh-CN"/>
        </w:rPr>
        <w:t>the following agreements were made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r>
        <w:rPr>
          <w:rFonts w:hint="eastAsia" w:ascii="Arial" w:hAnsi="Arial" w:cs="Arial" w:eastAsiaTheme="minorEastAsia"/>
          <w:szCs w:val="20"/>
          <w:lang w:val="en-GB" w:eastAsia="zh-CN"/>
        </w:rPr>
        <w:t xml:space="preserve"> </w:t>
      </w:r>
    </w:p>
    <w:p>
      <w:pPr>
        <w:pStyle w:val="16"/>
        <w:pBdr>
          <w:top w:val="single" w:color="auto" w:sz="4" w:space="1"/>
          <w:left w:val="single" w:color="auto" w:sz="4" w:space="4"/>
          <w:bottom w:val="single" w:color="auto" w:sz="4" w:space="1"/>
          <w:right w:val="single" w:color="auto" w:sz="4" w:space="4"/>
        </w:pBdr>
        <w:rPr>
          <w:b/>
          <w:bCs/>
          <w:lang w:val="en-US"/>
        </w:rPr>
      </w:pPr>
      <w:r>
        <w:rPr>
          <w:b/>
          <w:bCs/>
          <w:lang w:val="en-US"/>
        </w:rPr>
        <w:t>Agreements on measurement enhancements for LTM:</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rPr>
          <w:lang w:val="en-US"/>
        </w:rPr>
      </w:pPr>
      <w:r>
        <w:rPr>
          <w:lang w:val="en-US"/>
        </w:rPr>
        <w:t>Event triggered L1 measurement should be designed for the following LTM purposes:</w:t>
      </w:r>
    </w:p>
    <w:p>
      <w:pPr>
        <w:pStyle w:val="16"/>
        <w:pBdr>
          <w:top w:val="single" w:color="auto" w:sz="4" w:space="1"/>
          <w:left w:val="single" w:color="auto" w:sz="4" w:space="4"/>
          <w:bottom w:val="single" w:color="auto" w:sz="4" w:space="1"/>
          <w:right w:val="single" w:color="auto" w:sz="4" w:space="4"/>
        </w:pBdr>
        <w:ind w:left="1259" w:firstLine="0"/>
        <w:rPr>
          <w:lang w:val="en-US"/>
        </w:rPr>
      </w:pPr>
      <w:r>
        <w:rPr>
          <w:lang w:val="en-US"/>
        </w:rPr>
        <w:tab/>
      </w:r>
      <w:r>
        <w:rPr>
          <w:lang w:val="en-US"/>
        </w:rPr>
        <w:t>- Select the candidate beam/cell to trigger early synchronization.</w:t>
      </w:r>
    </w:p>
    <w:p>
      <w:pPr>
        <w:pStyle w:val="16"/>
        <w:pBdr>
          <w:top w:val="single" w:color="auto" w:sz="4" w:space="1"/>
          <w:left w:val="single" w:color="auto" w:sz="4" w:space="4"/>
          <w:bottom w:val="single" w:color="auto" w:sz="4" w:space="1"/>
          <w:right w:val="single" w:color="auto" w:sz="4" w:space="4"/>
        </w:pBdr>
        <w:rPr>
          <w:lang w:val="en-US"/>
        </w:rPr>
      </w:pPr>
      <w:r>
        <w:rPr>
          <w:lang w:val="en-US"/>
        </w:rPr>
        <w:t xml:space="preserve"> </w:t>
      </w:r>
      <w:r>
        <w:rPr>
          <w:lang w:val="en-US"/>
        </w:rPr>
        <w:tab/>
      </w:r>
      <w:r>
        <w:rPr>
          <w:lang w:val="en-US"/>
        </w:rPr>
        <w:t>- Select the target beam/cell and trigger LTM cell switch procedure.</w:t>
      </w:r>
    </w:p>
    <w:p>
      <w:pPr>
        <w:pStyle w:val="16"/>
        <w:pBdr>
          <w:top w:val="single" w:color="auto" w:sz="4" w:space="1"/>
          <w:left w:val="single" w:color="auto" w:sz="4" w:space="4"/>
          <w:bottom w:val="single" w:color="auto" w:sz="4" w:space="1"/>
          <w:right w:val="single" w:color="auto" w:sz="4" w:space="4"/>
        </w:pBdr>
      </w:pPr>
      <w:r>
        <w:rPr>
          <w:lang w:val="en-US"/>
        </w:rPr>
        <w:t xml:space="preserve">2. </w:t>
      </w:r>
      <w:r>
        <w:rPr>
          <w:lang w:val="en-US"/>
        </w:rPr>
        <w:tab/>
      </w:r>
      <w:r>
        <w:t>For event triggered L1 measurement, use of beam level measurement result for event evaluation is baseline. FFS for the cell level measurement.</w:t>
      </w:r>
    </w:p>
    <w:p>
      <w:pPr>
        <w:pStyle w:val="16"/>
        <w:pBdr>
          <w:top w:val="single" w:color="auto" w:sz="4" w:space="1"/>
          <w:left w:val="single" w:color="auto" w:sz="4" w:space="4"/>
          <w:bottom w:val="single" w:color="auto" w:sz="4" w:space="1"/>
          <w:right w:val="single" w:color="auto" w:sz="4" w:space="4"/>
        </w:pBdr>
        <w:rPr>
          <w:lang w:val="en-US"/>
        </w:rPr>
      </w:pPr>
      <w:r>
        <w:rPr>
          <w:lang w:val="en-US"/>
        </w:rPr>
        <w:t>3.</w:t>
      </w:r>
      <w:r>
        <w:rPr>
          <w:lang w:val="en-US"/>
        </w:rPr>
        <w:tab/>
      </w:r>
      <w:r>
        <w:rPr>
          <w:lang w:val="en-US"/>
        </w:rPr>
        <w:t>Support the following LTM events based on beam specific quality of serving cell and candidate cells as the L1 LTM measurement events.</w:t>
      </w:r>
    </w:p>
    <w:p>
      <w:pPr>
        <w:pStyle w:val="16"/>
        <w:pBdr>
          <w:top w:val="single" w:color="auto" w:sz="4" w:space="1"/>
          <w:left w:val="single" w:color="auto" w:sz="4" w:space="4"/>
          <w:bottom w:val="single" w:color="auto" w:sz="4" w:space="1"/>
          <w:right w:val="single" w:color="auto" w:sz="4" w:space="4"/>
        </w:pBdr>
        <w:rPr>
          <w:lang w:val="en-US"/>
        </w:rPr>
      </w:pPr>
      <w:r>
        <w:rPr>
          <w:lang w:val="en-US"/>
        </w:rPr>
        <w:tab/>
      </w:r>
      <w:r>
        <w:rPr>
          <w:lang w:val="en-US"/>
        </w:rPr>
        <w:t>-</w:t>
      </w:r>
      <w:r>
        <w:rPr>
          <w:lang w:val="en-US"/>
        </w:rPr>
        <w:tab/>
      </w:r>
      <w:r>
        <w:rPr>
          <w:lang w:val="en-US"/>
        </w:rPr>
        <w:t>Event LTM2: Beam of serving cell becomes worse than absolute threshold;</w:t>
      </w:r>
    </w:p>
    <w:p>
      <w:pPr>
        <w:pStyle w:val="16"/>
        <w:pBdr>
          <w:top w:val="single" w:color="auto" w:sz="4" w:space="1"/>
          <w:left w:val="single" w:color="auto" w:sz="4" w:space="4"/>
          <w:bottom w:val="single" w:color="auto" w:sz="4" w:space="1"/>
          <w:right w:val="single" w:color="auto" w:sz="4" w:space="4"/>
        </w:pBdr>
        <w:rPr>
          <w:lang w:val="en-US"/>
        </w:rPr>
      </w:pPr>
      <w:r>
        <w:rPr>
          <w:lang w:val="en-US"/>
        </w:rPr>
        <w:tab/>
      </w:r>
      <w:r>
        <w:rPr>
          <w:lang w:val="en-US"/>
        </w:rPr>
        <w:t>-</w:t>
      </w:r>
      <w:r>
        <w:rPr>
          <w:lang w:val="en-US"/>
        </w:rPr>
        <w:tab/>
      </w:r>
      <w:r>
        <w:rPr>
          <w:lang w:val="en-US"/>
        </w:rPr>
        <w:t>Event LTM3: Beam of candidate cell becomes amount of offset better than beam of serving cell;</w:t>
      </w:r>
    </w:p>
    <w:p>
      <w:pPr>
        <w:pStyle w:val="16"/>
        <w:pBdr>
          <w:top w:val="single" w:color="auto" w:sz="4" w:space="1"/>
          <w:left w:val="single" w:color="auto" w:sz="4" w:space="4"/>
          <w:bottom w:val="single" w:color="auto" w:sz="4" w:space="1"/>
          <w:right w:val="single" w:color="auto" w:sz="4" w:space="4"/>
        </w:pBdr>
        <w:rPr>
          <w:lang w:val="en-US"/>
        </w:rPr>
      </w:pPr>
      <w:r>
        <w:rPr>
          <w:lang w:val="en-US"/>
        </w:rPr>
        <w:tab/>
      </w:r>
      <w:r>
        <w:rPr>
          <w:lang w:val="en-US"/>
        </w:rPr>
        <w:t>-</w:t>
      </w:r>
      <w:r>
        <w:rPr>
          <w:lang w:val="en-US"/>
        </w:rPr>
        <w:tab/>
      </w:r>
      <w:r>
        <w:rPr>
          <w:lang w:val="en-US"/>
        </w:rPr>
        <w:t>Event LTM4: Beam of candidate cell becomes better than absolute threshold;</w:t>
      </w:r>
    </w:p>
    <w:p>
      <w:pPr>
        <w:pStyle w:val="16"/>
        <w:pBdr>
          <w:top w:val="single" w:color="auto" w:sz="4" w:space="1"/>
          <w:left w:val="single" w:color="auto" w:sz="4" w:space="4"/>
          <w:bottom w:val="single" w:color="auto" w:sz="4" w:space="1"/>
          <w:right w:val="single" w:color="auto" w:sz="4" w:space="4"/>
        </w:pBdr>
        <w:rPr>
          <w:lang w:val="en-US"/>
        </w:rPr>
      </w:pPr>
      <w:r>
        <w:rPr>
          <w:lang w:val="en-US"/>
        </w:rPr>
        <w:tab/>
      </w:r>
      <w:r>
        <w:rPr>
          <w:lang w:val="en-US"/>
        </w:rPr>
        <w:t>-</w:t>
      </w:r>
      <w:r>
        <w:rPr>
          <w:lang w:val="en-US"/>
        </w:rPr>
        <w:tab/>
      </w:r>
      <w:r>
        <w:rPr>
          <w:lang w:val="en-US"/>
        </w:rPr>
        <w:t>Event LTM5: Beam of serving cell becomes worse than absolute threshold1 AND Beam of candidate cell becomes better than another absolute threshold2.</w:t>
      </w:r>
    </w:p>
    <w:p>
      <w:pPr>
        <w:pStyle w:val="16"/>
        <w:pBdr>
          <w:top w:val="single" w:color="auto" w:sz="4" w:space="1"/>
          <w:left w:val="single" w:color="auto" w:sz="4" w:space="4"/>
          <w:bottom w:val="single" w:color="auto" w:sz="4" w:space="1"/>
          <w:right w:val="single" w:color="auto" w:sz="4" w:space="4"/>
        </w:pBdr>
        <w:rPr>
          <w:lang w:val="en-US"/>
        </w:rPr>
      </w:pPr>
      <w:r>
        <w:rPr>
          <w:lang w:val="en-US"/>
        </w:rPr>
        <w:tab/>
      </w:r>
    </w:p>
    <w:p>
      <w:pPr>
        <w:pStyle w:val="16"/>
        <w:pBdr>
          <w:top w:val="single" w:color="auto" w:sz="4" w:space="1"/>
          <w:left w:val="single" w:color="auto" w:sz="4" w:space="4"/>
          <w:bottom w:val="single" w:color="auto" w:sz="4" w:space="1"/>
          <w:right w:val="single" w:color="auto" w:sz="4" w:space="4"/>
        </w:pBdr>
        <w:rPr>
          <w:lang w:val="en-US"/>
        </w:rPr>
      </w:pPr>
      <w:r>
        <w:rPr>
          <w:lang w:val="en-US"/>
        </w:rPr>
        <w:tab/>
      </w:r>
      <w:r>
        <w:rPr>
          <w:lang w:val="en-US"/>
        </w:rPr>
        <w:t>FFS on what beam(s) of the serving cell and neighboring cell is used for event evaluation. FFS on the need of Event LTM1.</w:t>
      </w:r>
    </w:p>
    <w:p>
      <w:pPr>
        <w:pStyle w:val="16"/>
        <w:pBdr>
          <w:top w:val="single" w:color="auto" w:sz="4" w:space="1"/>
          <w:left w:val="single" w:color="auto" w:sz="4" w:space="4"/>
          <w:bottom w:val="single" w:color="auto" w:sz="4" w:space="1"/>
          <w:right w:val="single" w:color="auto" w:sz="4" w:space="4"/>
        </w:pBdr>
        <w:rPr>
          <w:lang w:val="en-US"/>
        </w:rPr>
      </w:pPr>
    </w:p>
    <w:p>
      <w:pPr>
        <w:pStyle w:val="16"/>
        <w:pBdr>
          <w:top w:val="single" w:color="auto" w:sz="4" w:space="1"/>
          <w:left w:val="single" w:color="auto" w:sz="4" w:space="4"/>
          <w:bottom w:val="single" w:color="auto" w:sz="4" w:space="1"/>
          <w:right w:val="single" w:color="auto" w:sz="4" w:space="4"/>
        </w:pBdr>
      </w:pPr>
      <w:r>
        <w:rPr>
          <w:lang w:val="en-US"/>
        </w:rPr>
        <w:t>4.</w:t>
      </w:r>
      <w:r>
        <w:rPr>
          <w:lang w:val="en-US"/>
        </w:rPr>
        <w:tab/>
      </w:r>
      <w:r>
        <w:t>Support the beam config of both SSB and CSI-RS in L1 measurement resource configuration in LTM config. Working assumption: Same RS type should be used for both serving and neighbouring cell for event LTM3 and event LTM5.</w:t>
      </w:r>
    </w:p>
    <w:p>
      <w:pPr>
        <w:pStyle w:val="16"/>
        <w:pBdr>
          <w:top w:val="single" w:color="auto" w:sz="4" w:space="1"/>
          <w:left w:val="single" w:color="auto" w:sz="4" w:space="4"/>
          <w:bottom w:val="single" w:color="auto" w:sz="4" w:space="1"/>
          <w:right w:val="single" w:color="auto" w:sz="4" w:space="4"/>
        </w:pBdr>
      </w:pPr>
      <w:r>
        <w:rPr>
          <w:lang w:val="en-US"/>
        </w:rPr>
        <w:t>5.</w:t>
      </w:r>
      <w:r>
        <w:rPr>
          <w:lang w:val="en-US"/>
        </w:rPr>
        <w:tab/>
      </w:r>
      <w:r>
        <w:t>RAN2 assumes filtering of the L1 measure results is needed. It’s up to RAN1 whether the specified L1 filtering is needed or ok to leave it to UE implementation.</w:t>
      </w:r>
    </w:p>
    <w:p>
      <w:pPr>
        <w:pStyle w:val="16"/>
        <w:pBdr>
          <w:top w:val="single" w:color="auto" w:sz="4" w:space="1"/>
          <w:left w:val="single" w:color="auto" w:sz="4" w:space="4"/>
          <w:bottom w:val="single" w:color="auto" w:sz="4" w:space="1"/>
          <w:right w:val="single" w:color="auto" w:sz="4" w:space="4"/>
        </w:pBdr>
        <w:rPr>
          <w:lang w:val="en-US"/>
        </w:rPr>
      </w:pPr>
      <w:r>
        <w:rPr>
          <w:lang w:val="en-US"/>
        </w:rPr>
        <w:t>6.</w:t>
      </w:r>
      <w:r>
        <w:rPr>
          <w:lang w:val="en-US"/>
        </w:rPr>
        <w:tab/>
      </w:r>
      <w:r>
        <w:rPr>
          <w:lang w:val="en-US"/>
        </w:rPr>
        <w:t xml:space="preserve">For LTM event evaluation, TTT, </w:t>
      </w:r>
      <w:r>
        <w:t>hysteresis for entering/leaving, and/or beam specific (FFS for cell specific) offset can be applied. FFS on the need of measurement reporting once leaving condition is met.</w:t>
      </w:r>
    </w:p>
    <w:p>
      <w:pPr>
        <w:pStyle w:val="6"/>
        <w:rPr>
          <w:rFonts w:hint="eastAsia" w:ascii="Arial" w:hAnsi="Arial" w:cs="Arial" w:eastAsiaTheme="minorEastAsia"/>
          <w:szCs w:val="20"/>
          <w:lang w:val="en-GB" w:eastAsia="zh-CN"/>
        </w:rPr>
      </w:pPr>
    </w:p>
    <w:p>
      <w:pPr>
        <w:pStyle w:val="6"/>
        <w:spacing w:before="120"/>
        <w:rPr>
          <w:bCs/>
        </w:rPr>
      </w:pPr>
      <w:r>
        <w:rPr>
          <w:rFonts w:hint="eastAsia" w:ascii="Arial" w:hAnsi="Arial" w:cs="Arial"/>
          <w:szCs w:val="20"/>
        </w:rPr>
        <w:t xml:space="preserve">In this contribution, we </w:t>
      </w:r>
      <w:r>
        <w:rPr>
          <w:rFonts w:hint="eastAsia" w:eastAsia="宋体" w:cs="Arial"/>
          <w:szCs w:val="20"/>
          <w:lang w:val="en-US" w:eastAsia="zh-CN"/>
        </w:rPr>
        <w:t>continue to discuss the measurement enhancement for LTM</w:t>
      </w:r>
      <w:r>
        <w:rPr>
          <w:rFonts w:hint="eastAsia" w:ascii="Arial" w:hAnsi="Arial" w:cs="Arial"/>
          <w:szCs w:val="20"/>
        </w:rPr>
        <w:t>.</w:t>
      </w:r>
    </w:p>
    <w:p>
      <w:pPr>
        <w:pStyle w:val="2"/>
        <w:numPr>
          <w:ilvl w:val="0"/>
          <w:numId w:val="3"/>
        </w:numPr>
        <w:ind w:left="360" w:leftChars="0" w:hanging="360" w:firstLineChars="0"/>
        <w:rPr>
          <w:rFonts w:hint="default" w:eastAsia="宋体"/>
          <w:lang w:val="en-US" w:eastAsia="zh-CN"/>
        </w:rPr>
      </w:pPr>
      <w:r>
        <w:t>Discussion</w:t>
      </w:r>
    </w:p>
    <w:p>
      <w:pPr>
        <w:pStyle w:val="3"/>
        <w:keepNext/>
        <w:numPr>
          <w:ilvl w:val="-1"/>
          <w:numId w:val="0"/>
        </w:numPr>
        <w:tabs>
          <w:tab w:val="left" w:pos="851"/>
        </w:tabs>
        <w:ind w:left="0" w:firstLine="0"/>
        <w:rPr>
          <w:rFonts w:hint="eastAsia" w:ascii="Arial" w:hAnsi="Arial" w:cs="Arial" w:eastAsiaTheme="minorEastAsia"/>
          <w:b/>
          <w:szCs w:val="20"/>
          <w:lang w:val="en-GB" w:eastAsia="zh-CN"/>
        </w:rPr>
      </w:pPr>
      <w:r>
        <w:rPr>
          <w:rFonts w:hint="eastAsia"/>
          <w:lang w:val="en-US" w:eastAsia="zh-CN"/>
        </w:rPr>
        <w:t xml:space="preserve">2.1 L1 measurement reporting </w:t>
      </w:r>
      <w:r>
        <w:rPr>
          <w:rFonts w:hint="eastAsia"/>
        </w:rPr>
        <w:t>for L</w:t>
      </w:r>
      <w:r>
        <w:rPr>
          <w:rFonts w:hint="eastAsia"/>
          <w:lang w:val="en-US" w:eastAsia="zh-CN"/>
        </w:rPr>
        <w:t>TM</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val="0"/>
          <w:bCs/>
          <w:szCs w:val="20"/>
          <w:lang w:val="en-US" w:eastAsia="zh-CN"/>
        </w:rPr>
      </w:pPr>
      <w:r>
        <w:rPr>
          <w:rFonts w:hint="eastAsia" w:cs="Arial" w:eastAsiaTheme="minorEastAsia"/>
          <w:b w:val="0"/>
          <w:bCs/>
          <w:szCs w:val="20"/>
          <w:lang w:val="en-US" w:eastAsia="zh-CN"/>
        </w:rPr>
        <w:t>As agreed in last meeting, the event triggered L1 measurement shoud be designed for the following LTM purposes:</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default" w:cs="Arial" w:eastAsiaTheme="minorEastAsia"/>
          <w:b w:val="0"/>
          <w:bCs/>
          <w:szCs w:val="20"/>
          <w:lang w:val="en-US" w:eastAsia="zh-CN"/>
        </w:rPr>
        <w:tab/>
      </w:r>
      <w:r>
        <w:rPr>
          <w:rFonts w:hint="default" w:cs="Arial" w:eastAsiaTheme="minorEastAsia"/>
          <w:b w:val="0"/>
          <w:bCs/>
          <w:szCs w:val="20"/>
          <w:lang w:val="en-US" w:eastAsia="zh-CN"/>
        </w:rPr>
        <w:t>- Select the candidate beam/cell to trigger early synchronization.</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default" w:cs="Arial" w:eastAsiaTheme="minorEastAsia"/>
          <w:b w:val="0"/>
          <w:bCs/>
          <w:szCs w:val="20"/>
          <w:lang w:val="en-US" w:eastAsia="zh-CN"/>
        </w:rPr>
        <w:t xml:space="preserve"> </w:t>
      </w:r>
      <w:r>
        <w:rPr>
          <w:rFonts w:hint="default" w:cs="Arial" w:eastAsiaTheme="minorEastAsia"/>
          <w:b w:val="0"/>
          <w:bCs/>
          <w:szCs w:val="20"/>
          <w:lang w:val="en-US" w:eastAsia="zh-CN"/>
        </w:rPr>
        <w:tab/>
      </w:r>
      <w:r>
        <w:rPr>
          <w:rFonts w:hint="default" w:cs="Arial" w:eastAsiaTheme="minorEastAsia"/>
          <w:b w:val="0"/>
          <w:bCs/>
          <w:szCs w:val="20"/>
          <w:lang w:val="en-US" w:eastAsia="zh-CN"/>
        </w:rPr>
        <w:t>- Select the target beam/cell and trigger LTM cell switch procedure.</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eastAsia" w:cs="Arial" w:eastAsiaTheme="minorEastAsia"/>
          <w:b w:val="0"/>
          <w:bCs/>
          <w:szCs w:val="20"/>
          <w:lang w:val="en-US" w:eastAsia="zh-CN"/>
        </w:rPr>
        <w:t>The R18 LTM supports UE-based TA measurement and PDCCH order for early synchronization and the exact time the UE performs TA measurement is up to UE implementation, thus the network doesn</w:t>
      </w:r>
      <w:r>
        <w:rPr>
          <w:rFonts w:hint="default" w:cs="Arial" w:eastAsiaTheme="minorEastAsia"/>
          <w:b w:val="0"/>
          <w:bCs/>
          <w:szCs w:val="20"/>
          <w:lang w:val="en-US" w:eastAsia="zh-CN"/>
        </w:rPr>
        <w:t>’</w:t>
      </w:r>
      <w:r>
        <w:rPr>
          <w:rFonts w:hint="eastAsia" w:cs="Arial" w:eastAsiaTheme="minorEastAsia"/>
          <w:b w:val="0"/>
          <w:bCs/>
          <w:szCs w:val="20"/>
          <w:lang w:val="en-US" w:eastAsia="zh-CN"/>
        </w:rPr>
        <w:t>t know whether the UE has performs TA measurement or not. If the event triggered L1 MR is used for trigger early synchronization, it may cause repeated triggering early synchronization if the UE has already get the TA of candidates cell by UE-based TA measurement. To avoid this the TA available information can be included in the L1 measurement report. If the network receives L1 measurement report with TA available information for a candidate cell, then the network will not send PDCCH order for this candidate cell to trigger early synchronization as the UE has already get the TA. The TA available information can be just one bit to indiate the network that the UE has already get the TA of the candidate cell.</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bookmarkStart w:id="1" w:name="OLE_LINK1"/>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1</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The TA available information</w:t>
      </w:r>
      <w:r>
        <w:rPr>
          <w:rFonts w:hint="eastAsia" w:ascii="Arial" w:hAnsi="Arial" w:cs="Arial" w:eastAsiaTheme="minorEastAsia"/>
          <w:b/>
          <w:szCs w:val="20"/>
          <w:lang w:val="en-US" w:eastAsia="zh-CN"/>
        </w:rPr>
        <w:t xml:space="preserve"> can be included in the mea</w:t>
      </w:r>
      <w:r>
        <w:rPr>
          <w:rFonts w:hint="eastAsia" w:cs="Arial" w:eastAsiaTheme="minorEastAsia"/>
          <w:b/>
          <w:szCs w:val="20"/>
          <w:lang w:val="en-US" w:eastAsia="zh-CN"/>
        </w:rPr>
        <w:t>su</w:t>
      </w:r>
      <w:r>
        <w:rPr>
          <w:rFonts w:hint="eastAsia" w:ascii="Arial" w:hAnsi="Arial" w:cs="Arial" w:eastAsiaTheme="minorEastAsia"/>
          <w:b/>
          <w:szCs w:val="20"/>
          <w:lang w:val="en-US" w:eastAsia="zh-CN"/>
        </w:rPr>
        <w:t xml:space="preserve">rement </w:t>
      </w:r>
      <w:r>
        <w:rPr>
          <w:rFonts w:hint="eastAsia" w:cs="Arial" w:eastAsiaTheme="minorEastAsia"/>
          <w:b/>
          <w:szCs w:val="20"/>
          <w:lang w:val="en-US" w:eastAsia="zh-CN"/>
        </w:rPr>
        <w:t>report to avoid repeated triggering early synchronization</w:t>
      </w:r>
      <w:r>
        <w:rPr>
          <w:rFonts w:hint="eastAsia" w:ascii="Arial" w:hAnsi="Arial" w:cs="Arial" w:eastAsiaTheme="minorEastAsia"/>
          <w:b/>
          <w:szCs w:val="20"/>
          <w:lang w:val="en-GB" w:eastAsia="zh-CN"/>
        </w:rPr>
        <w:t>.</w:t>
      </w:r>
      <w:bookmarkEnd w:id="1"/>
    </w:p>
    <w:p>
      <w:pPr>
        <w:pStyle w:val="3"/>
        <w:numPr>
          <w:ilvl w:val="-1"/>
          <w:numId w:val="0"/>
        </w:numPr>
        <w:ind w:left="0" w:firstLine="0"/>
        <w:rPr>
          <w:rFonts w:hint="eastAsia" w:eastAsia="宋体" w:cs="Arial"/>
          <w:b w:val="0"/>
          <w:bCs w:val="0"/>
          <w:sz w:val="32"/>
          <w:szCs w:val="32"/>
          <w:lang w:val="en-US" w:eastAsia="zh-CN"/>
        </w:rPr>
      </w:pPr>
      <w:r>
        <w:rPr>
          <w:rFonts w:hint="eastAsia" w:eastAsia="宋体" w:cs="Arial"/>
          <w:sz w:val="32"/>
          <w:szCs w:val="32"/>
          <w:lang w:val="en-US" w:eastAsia="zh-CN"/>
        </w:rPr>
        <w:t>2.2 How to report event triggered L1 measurements</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ascii="Arial" w:hAnsi="Arial" w:cs="Arial" w:eastAsiaTheme="minorEastAsia"/>
          <w:b w:val="0"/>
          <w:bCs/>
          <w:szCs w:val="20"/>
          <w:lang w:val="en-US" w:eastAsia="zh-CN"/>
        </w:rPr>
      </w:pPr>
      <w:r>
        <w:rPr>
          <w:rFonts w:hint="eastAsia" w:cs="Arial" w:eastAsiaTheme="minorEastAsia"/>
          <w:b w:val="0"/>
          <w:bCs/>
          <w:szCs w:val="20"/>
          <w:lang w:val="en-US" w:eastAsia="zh-CN"/>
        </w:rPr>
        <w:t>There are two options to carry the L1 measurement report: MAC CE and UCI. The R18 LTM L1 measurement report is carried by UCI and the the L1 measurement report can be periodic、semi-persistent and aperiodic. For periodic report the UL resource has to be reserved for the UE for a long time. The R19 event triggered L1 measurement report is used to save the UL transmission resource. So the MAC CE is more suitable to convey the event triggered L1 measurement report, moreover the MAC CE is more flexibility and can convey more information.</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2</w:t>
      </w:r>
      <w:r>
        <w:rPr>
          <w:rFonts w:hint="eastAsia" w:ascii="Arial" w:hAnsi="Arial" w:cs="Arial" w:eastAsiaTheme="minorEastAsia"/>
          <w:b/>
          <w:szCs w:val="20"/>
          <w:lang w:val="en-GB" w:eastAsia="zh-CN"/>
        </w:rPr>
        <w:t>:</w:t>
      </w:r>
      <w:r>
        <w:rPr>
          <w:rFonts w:hint="eastAsia" w:cs="Arial" w:eastAsiaTheme="minorEastAsia"/>
          <w:b/>
          <w:szCs w:val="20"/>
          <w:lang w:val="en-US" w:eastAsia="zh-CN"/>
        </w:rPr>
        <w:t xml:space="preserve"> Event-triggered L1-measurements are reported by the UE to the network via a MAC CE</w:t>
      </w:r>
      <w:r>
        <w:rPr>
          <w:rFonts w:hint="eastAsia" w:ascii="Arial" w:hAnsi="Arial" w:cs="Arial" w:eastAsiaTheme="minorEastAsia"/>
          <w:b/>
          <w:szCs w:val="20"/>
          <w:lang w:val="en-GB" w:eastAsia="zh-CN"/>
        </w:rPr>
        <w:t>.</w:t>
      </w:r>
    </w:p>
    <w:p>
      <w:pPr>
        <w:numPr>
          <w:ilvl w:val="0"/>
          <w:numId w:val="0"/>
        </w:numPr>
        <w:ind w:leftChars="0"/>
        <w:jc w:val="both"/>
        <w:rPr>
          <w:rFonts w:hint="default" w:eastAsia="宋体"/>
          <w:b w:val="0"/>
          <w:bCs w:val="0"/>
          <w:lang w:val="en-US" w:eastAsia="zh-CN"/>
        </w:rPr>
      </w:pPr>
    </w:p>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eastAsia" w:ascii="Arial" w:hAnsi="Arial" w:cs="Arial" w:eastAsiaTheme="minorEastAsia"/>
          <w:b/>
          <w:szCs w:val="20"/>
          <w:lang w:val="en-GB" w:eastAsia="zh-CN"/>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ascii="Times New Roman" w:hAnsi="Times New Roman" w:eastAsia="宋体" w:cs="Times New Roman"/>
          <w:color w:val="000000" w:themeColor="text1"/>
          <w:lang w:val="en-US" w:eastAsia="zh-CN"/>
          <w14:textFill>
            <w14:solidFill>
              <w14:schemeClr w14:val="tx1"/>
            </w14:solidFill>
          </w14:textFill>
        </w:rPr>
        <w:t>measurement enhancement for LTM</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1</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The TA available information</w:t>
      </w:r>
      <w:r>
        <w:rPr>
          <w:rFonts w:hint="eastAsia" w:ascii="Arial" w:hAnsi="Arial" w:cs="Arial" w:eastAsiaTheme="minorEastAsia"/>
          <w:b/>
          <w:szCs w:val="20"/>
          <w:lang w:val="en-US" w:eastAsia="zh-CN"/>
        </w:rPr>
        <w:t xml:space="preserve"> can be included in the mea</w:t>
      </w:r>
      <w:r>
        <w:rPr>
          <w:rFonts w:hint="eastAsia" w:cs="Arial" w:eastAsiaTheme="minorEastAsia"/>
          <w:b/>
          <w:szCs w:val="20"/>
          <w:lang w:val="en-US" w:eastAsia="zh-CN"/>
        </w:rPr>
        <w:t>su</w:t>
      </w:r>
      <w:r>
        <w:rPr>
          <w:rFonts w:hint="eastAsia" w:ascii="Arial" w:hAnsi="Arial" w:cs="Arial" w:eastAsiaTheme="minorEastAsia"/>
          <w:b/>
          <w:szCs w:val="20"/>
          <w:lang w:val="en-US" w:eastAsia="zh-CN"/>
        </w:rPr>
        <w:t xml:space="preserve">rement </w:t>
      </w:r>
      <w:r>
        <w:rPr>
          <w:rFonts w:hint="eastAsia" w:cs="Arial" w:eastAsiaTheme="minorEastAsia"/>
          <w:b/>
          <w:szCs w:val="20"/>
          <w:lang w:val="en-US" w:eastAsia="zh-CN"/>
        </w:rPr>
        <w:t>report to avoid repeated triggering early synchronization</w:t>
      </w:r>
      <w:r>
        <w:rPr>
          <w:rFonts w:hint="eastAsia" w:ascii="Arial" w:hAnsi="Arial" w:cs="Arial" w:eastAsiaTheme="minorEastAsia"/>
          <w:b/>
          <w:szCs w:val="20"/>
          <w:lang w:val="en-GB" w:eastAsia="zh-CN"/>
        </w:rPr>
        <w:t>.</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2</w:t>
      </w:r>
      <w:r>
        <w:rPr>
          <w:rFonts w:hint="eastAsia" w:ascii="Arial" w:hAnsi="Arial" w:cs="Arial" w:eastAsiaTheme="minorEastAsia"/>
          <w:b/>
          <w:szCs w:val="20"/>
          <w:lang w:val="en-GB" w:eastAsia="zh-CN"/>
        </w:rPr>
        <w:t>:</w:t>
      </w:r>
      <w:r>
        <w:rPr>
          <w:rFonts w:hint="eastAsia" w:cs="Arial" w:eastAsiaTheme="minorEastAsia"/>
          <w:b/>
          <w:szCs w:val="20"/>
          <w:lang w:val="en-US" w:eastAsia="zh-CN"/>
        </w:rPr>
        <w:t xml:space="preserve"> Event-triggered L1-measurements are reported by the UE to the network via a MAC CE</w:t>
      </w:r>
      <w:r>
        <w:rPr>
          <w:rFonts w:hint="eastAsia" w:ascii="Arial" w:hAnsi="Arial" w:cs="Arial" w:eastAsiaTheme="minorEastAsia"/>
          <w:b/>
          <w:szCs w:val="20"/>
          <w:lang w:val="en-GB" w:eastAsia="zh-CN"/>
        </w:rPr>
        <w:t>.</w:t>
      </w: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5"/>
        </w:numPr>
        <w:spacing w:after="0"/>
        <w:jc w:val="both"/>
        <w:rPr>
          <w:rFonts w:hint="default"/>
          <w:sz w:val="22"/>
          <w:szCs w:val="22"/>
          <w:lang w:val="en-US"/>
        </w:rPr>
      </w:pPr>
      <w:r>
        <w:rPr>
          <w:rFonts w:hint="default" w:eastAsia="宋体"/>
          <w:sz w:val="22"/>
          <w:szCs w:val="22"/>
          <w:lang w:val="en-US" w:eastAsia="zh-CN"/>
        </w:rPr>
        <w:t>“Draft_R2_12</w:t>
      </w:r>
      <w:r>
        <w:rPr>
          <w:rFonts w:hint="eastAsia" w:eastAsia="宋体"/>
          <w:sz w:val="22"/>
          <w:szCs w:val="22"/>
          <w:lang w:val="en-US" w:eastAsia="zh-CN"/>
        </w:rPr>
        <w:t>6</w:t>
      </w:r>
      <w:r>
        <w:rPr>
          <w:rFonts w:hint="default" w:eastAsia="宋体"/>
          <w:sz w:val="22"/>
          <w:szCs w:val="22"/>
          <w:lang w:val="en-US" w:eastAsia="zh-CN"/>
        </w:rPr>
        <w:t>_Meeting_Report_v1”</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entury">
    <w:panose1 w:val="02040604050505020304"/>
    <w:charset w:val="00"/>
    <w:family w:val="auto"/>
    <w:pitch w:val="default"/>
    <w:sig w:usb0="00000287" w:usb1="00000000" w:usb2="00000000" w:usb3="00000000" w:csb0="2000009F" w:csb1="DFD7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 w:name="@宋体">
    <w:panose1 w:val="02010600030101010101"/>
    <w:charset w:val="86"/>
    <w:family w:val="auto"/>
    <w:pitch w:val="variable"/>
    <w:sig w:usb0="00000003" w:usb1="288F0000" w:usb2="0000000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864" w:hanging="432"/>
      </w:pPr>
      <w:rPr>
        <w:rFonts w:hint="default"/>
      </w:rPr>
    </w:lvl>
    <w:lvl w:ilvl="1" w:tentative="0">
      <w:start w:val="1"/>
      <w:numFmt w:val="decimal"/>
      <w:lvlText w:val="%1.%2"/>
      <w:lvlJc w:val="left"/>
      <w:pPr>
        <w:tabs>
          <w:tab w:val="left" w:pos="576"/>
        </w:tabs>
        <w:ind w:left="1008" w:hanging="576"/>
      </w:pPr>
      <w:rPr>
        <w:rFonts w:hint="default"/>
      </w:rPr>
    </w:lvl>
    <w:lvl w:ilvl="2" w:tentative="0">
      <w:start w:val="1"/>
      <w:numFmt w:val="decimal"/>
      <w:lvlText w:val="%1.%2.%3"/>
      <w:lvlJc w:val="left"/>
      <w:pPr>
        <w:tabs>
          <w:tab w:val="left" w:pos="720"/>
        </w:tabs>
        <w:ind w:left="1152" w:hanging="720"/>
      </w:pPr>
      <w:rPr>
        <w:rFonts w:hint="default"/>
      </w:rPr>
    </w:lvl>
    <w:lvl w:ilvl="3" w:tentative="0">
      <w:start w:val="1"/>
      <w:numFmt w:val="decimal"/>
      <w:lvlText w:val="%1.%2.%3.%4"/>
      <w:lvlJc w:val="left"/>
      <w:pPr>
        <w:tabs>
          <w:tab w:val="left" w:pos="864"/>
        </w:tabs>
        <w:ind w:left="1296" w:hanging="864"/>
      </w:pPr>
      <w:rPr>
        <w:rFonts w:hint="default"/>
      </w:rPr>
    </w:lvl>
    <w:lvl w:ilvl="4" w:tentative="0">
      <w:start w:val="1"/>
      <w:numFmt w:val="decimal"/>
      <w:lvlText w:val="%1.%2.%3.%4.%5"/>
      <w:lvlJc w:val="left"/>
      <w:pPr>
        <w:tabs>
          <w:tab w:val="left" w:pos="1008"/>
        </w:tabs>
        <w:ind w:left="1440" w:hanging="1008"/>
      </w:pPr>
      <w:rPr>
        <w:rFonts w:hint="default"/>
      </w:rPr>
    </w:lvl>
    <w:lvl w:ilvl="5" w:tentative="0">
      <w:start w:val="1"/>
      <w:numFmt w:val="decimal"/>
      <w:lvlText w:val="%1.%2.%3.%4.%5.%6"/>
      <w:lvlJc w:val="left"/>
      <w:pPr>
        <w:tabs>
          <w:tab w:val="left" w:pos="1152"/>
        </w:tabs>
        <w:ind w:left="1584" w:hanging="1152"/>
      </w:pPr>
      <w:rPr>
        <w:rFonts w:hint="default"/>
      </w:rPr>
    </w:lvl>
    <w:lvl w:ilvl="6" w:tentative="0">
      <w:start w:val="1"/>
      <w:numFmt w:val="decimal"/>
      <w:lvlText w:val="%1.%2.%3.%4.%5.%6.%7"/>
      <w:lvlJc w:val="left"/>
      <w:pPr>
        <w:tabs>
          <w:tab w:val="left" w:pos="1296"/>
        </w:tabs>
        <w:ind w:left="1728" w:hanging="1296"/>
      </w:pPr>
      <w:rPr>
        <w:rFonts w:hint="default"/>
      </w:rPr>
    </w:lvl>
    <w:lvl w:ilvl="7" w:tentative="0">
      <w:start w:val="1"/>
      <w:numFmt w:val="decimal"/>
      <w:lvlText w:val="%1.%2.%3.%4.%5.%6.%7.%8"/>
      <w:lvlJc w:val="left"/>
      <w:pPr>
        <w:tabs>
          <w:tab w:val="left" w:pos="1440"/>
        </w:tabs>
        <w:ind w:left="1872" w:hanging="1440"/>
      </w:pPr>
      <w:rPr>
        <w:rFonts w:hint="default"/>
      </w:rPr>
    </w:lvl>
    <w:lvl w:ilvl="8" w:tentative="0">
      <w:start w:val="1"/>
      <w:numFmt w:val="decimal"/>
      <w:lvlText w:val="%1.%2.%3.%4.%5.%6.%7.%8.%9"/>
      <w:lvlJc w:val="left"/>
      <w:pPr>
        <w:tabs>
          <w:tab w:val="left" w:pos="1584"/>
        </w:tabs>
        <w:ind w:left="2016" w:hanging="1584"/>
      </w:pPr>
      <w:rPr>
        <w:rFonts w:hint="default"/>
      </w:rPr>
    </w:lvl>
  </w:abstractNum>
  <w:abstractNum w:abstractNumId="1">
    <w:nsid w:val="67FA406A"/>
    <w:multiLevelType w:val="multilevel"/>
    <w:tmpl w:val="67FA406A"/>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3">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C5978"/>
    <w:rsid w:val="00AA687A"/>
    <w:rsid w:val="00D10BDD"/>
    <w:rsid w:val="00E21B0B"/>
    <w:rsid w:val="00E72B48"/>
    <w:rsid w:val="016D2429"/>
    <w:rsid w:val="017625C7"/>
    <w:rsid w:val="01BC413C"/>
    <w:rsid w:val="026B101C"/>
    <w:rsid w:val="026D6078"/>
    <w:rsid w:val="02F16840"/>
    <w:rsid w:val="03FA4B3F"/>
    <w:rsid w:val="0441406B"/>
    <w:rsid w:val="049342E7"/>
    <w:rsid w:val="04A63BBE"/>
    <w:rsid w:val="04BA00BC"/>
    <w:rsid w:val="05A17499"/>
    <w:rsid w:val="05F02177"/>
    <w:rsid w:val="063E6DCB"/>
    <w:rsid w:val="06AD14D1"/>
    <w:rsid w:val="0729485D"/>
    <w:rsid w:val="074434AD"/>
    <w:rsid w:val="077E1DF5"/>
    <w:rsid w:val="08705469"/>
    <w:rsid w:val="0871778C"/>
    <w:rsid w:val="09242B66"/>
    <w:rsid w:val="09AA20D3"/>
    <w:rsid w:val="09C8159B"/>
    <w:rsid w:val="0A083CCF"/>
    <w:rsid w:val="0A296EBB"/>
    <w:rsid w:val="0B5A15F4"/>
    <w:rsid w:val="0C480592"/>
    <w:rsid w:val="0C8A04EF"/>
    <w:rsid w:val="0C8B3F6C"/>
    <w:rsid w:val="0CDF38AA"/>
    <w:rsid w:val="0CFB2676"/>
    <w:rsid w:val="0D086537"/>
    <w:rsid w:val="0D6C62FD"/>
    <w:rsid w:val="0D701E08"/>
    <w:rsid w:val="0D840B99"/>
    <w:rsid w:val="0DAF7C6F"/>
    <w:rsid w:val="0F054467"/>
    <w:rsid w:val="0F711142"/>
    <w:rsid w:val="0F846F16"/>
    <w:rsid w:val="0F970BC8"/>
    <w:rsid w:val="0FF1497D"/>
    <w:rsid w:val="102E458D"/>
    <w:rsid w:val="10664121"/>
    <w:rsid w:val="107078FB"/>
    <w:rsid w:val="10D97A01"/>
    <w:rsid w:val="10F5590A"/>
    <w:rsid w:val="10F9442F"/>
    <w:rsid w:val="110E3FBC"/>
    <w:rsid w:val="1259446D"/>
    <w:rsid w:val="12CA4226"/>
    <w:rsid w:val="134C4354"/>
    <w:rsid w:val="13D7274C"/>
    <w:rsid w:val="142030D3"/>
    <w:rsid w:val="14EE3856"/>
    <w:rsid w:val="151764BF"/>
    <w:rsid w:val="16162911"/>
    <w:rsid w:val="161A2980"/>
    <w:rsid w:val="16231D84"/>
    <w:rsid w:val="166A6E0A"/>
    <w:rsid w:val="16AF5E9F"/>
    <w:rsid w:val="16FF7648"/>
    <w:rsid w:val="172B15A5"/>
    <w:rsid w:val="1788763E"/>
    <w:rsid w:val="17A24952"/>
    <w:rsid w:val="17AE7B7C"/>
    <w:rsid w:val="17C0415C"/>
    <w:rsid w:val="18891BE5"/>
    <w:rsid w:val="18C4408C"/>
    <w:rsid w:val="18FE5245"/>
    <w:rsid w:val="19033124"/>
    <w:rsid w:val="190C3624"/>
    <w:rsid w:val="19120992"/>
    <w:rsid w:val="192B61EE"/>
    <w:rsid w:val="19CF1F1C"/>
    <w:rsid w:val="19FC3902"/>
    <w:rsid w:val="1B0106E1"/>
    <w:rsid w:val="1B4F2E04"/>
    <w:rsid w:val="1B5D02DF"/>
    <w:rsid w:val="1B7F05AA"/>
    <w:rsid w:val="1BB5656E"/>
    <w:rsid w:val="1C651C0C"/>
    <w:rsid w:val="1D5C422C"/>
    <w:rsid w:val="1D72553F"/>
    <w:rsid w:val="1D8F4538"/>
    <w:rsid w:val="1D9D4FE7"/>
    <w:rsid w:val="1DB61295"/>
    <w:rsid w:val="1E7A7055"/>
    <w:rsid w:val="1E837BE2"/>
    <w:rsid w:val="1FF75154"/>
    <w:rsid w:val="205D2601"/>
    <w:rsid w:val="20EA0B5E"/>
    <w:rsid w:val="21150F4A"/>
    <w:rsid w:val="21272772"/>
    <w:rsid w:val="217D10FE"/>
    <w:rsid w:val="218C3C37"/>
    <w:rsid w:val="21A07045"/>
    <w:rsid w:val="21DC5F44"/>
    <w:rsid w:val="21EA7E73"/>
    <w:rsid w:val="22846486"/>
    <w:rsid w:val="22927389"/>
    <w:rsid w:val="22E661B8"/>
    <w:rsid w:val="22ED4EA9"/>
    <w:rsid w:val="2311372E"/>
    <w:rsid w:val="23313175"/>
    <w:rsid w:val="236F4355"/>
    <w:rsid w:val="24980A44"/>
    <w:rsid w:val="24F831F6"/>
    <w:rsid w:val="253A0CB4"/>
    <w:rsid w:val="253F3B36"/>
    <w:rsid w:val="255A0D1D"/>
    <w:rsid w:val="258E2521"/>
    <w:rsid w:val="25A657FD"/>
    <w:rsid w:val="25BC78D5"/>
    <w:rsid w:val="25C95136"/>
    <w:rsid w:val="25DF25F3"/>
    <w:rsid w:val="25E27EEA"/>
    <w:rsid w:val="2653352F"/>
    <w:rsid w:val="26F5334E"/>
    <w:rsid w:val="27264053"/>
    <w:rsid w:val="273F71A1"/>
    <w:rsid w:val="275F2582"/>
    <w:rsid w:val="276944B2"/>
    <w:rsid w:val="287B00A7"/>
    <w:rsid w:val="2941444C"/>
    <w:rsid w:val="29523E43"/>
    <w:rsid w:val="2982756F"/>
    <w:rsid w:val="299E3F8A"/>
    <w:rsid w:val="2ABE6C52"/>
    <w:rsid w:val="2ABF7B59"/>
    <w:rsid w:val="2B1B06C1"/>
    <w:rsid w:val="2B1B574F"/>
    <w:rsid w:val="2C151E25"/>
    <w:rsid w:val="2C882B47"/>
    <w:rsid w:val="2CFA3372"/>
    <w:rsid w:val="2D64575D"/>
    <w:rsid w:val="2ECA078E"/>
    <w:rsid w:val="2EDC2122"/>
    <w:rsid w:val="2EEC38EF"/>
    <w:rsid w:val="2F264722"/>
    <w:rsid w:val="2F4F1C42"/>
    <w:rsid w:val="2FCB0EFA"/>
    <w:rsid w:val="3038562B"/>
    <w:rsid w:val="306127E8"/>
    <w:rsid w:val="307C700A"/>
    <w:rsid w:val="30F35CF8"/>
    <w:rsid w:val="31111AB1"/>
    <w:rsid w:val="315E520F"/>
    <w:rsid w:val="319D2E0A"/>
    <w:rsid w:val="31F027DF"/>
    <w:rsid w:val="329F15E7"/>
    <w:rsid w:val="32BB6C22"/>
    <w:rsid w:val="33031B19"/>
    <w:rsid w:val="33DE5E56"/>
    <w:rsid w:val="34682BF9"/>
    <w:rsid w:val="34FC34CD"/>
    <w:rsid w:val="354C6CDB"/>
    <w:rsid w:val="35592207"/>
    <w:rsid w:val="36913EB9"/>
    <w:rsid w:val="36E43987"/>
    <w:rsid w:val="37F326F9"/>
    <w:rsid w:val="381758AE"/>
    <w:rsid w:val="38263F63"/>
    <w:rsid w:val="38277C4F"/>
    <w:rsid w:val="387554D3"/>
    <w:rsid w:val="3885080A"/>
    <w:rsid w:val="38A038DB"/>
    <w:rsid w:val="38AA0169"/>
    <w:rsid w:val="38B33F69"/>
    <w:rsid w:val="39E010B6"/>
    <w:rsid w:val="39EF7A8E"/>
    <w:rsid w:val="3A34153B"/>
    <w:rsid w:val="3A3F7324"/>
    <w:rsid w:val="3A7C338E"/>
    <w:rsid w:val="3AC13929"/>
    <w:rsid w:val="3B026B89"/>
    <w:rsid w:val="3B7F12E7"/>
    <w:rsid w:val="3BD561D8"/>
    <w:rsid w:val="3BE31C32"/>
    <w:rsid w:val="3BE67712"/>
    <w:rsid w:val="3C752CAA"/>
    <w:rsid w:val="3C872072"/>
    <w:rsid w:val="3C93695A"/>
    <w:rsid w:val="3CCF2B82"/>
    <w:rsid w:val="3D064EB3"/>
    <w:rsid w:val="3F3A2108"/>
    <w:rsid w:val="3F3C3648"/>
    <w:rsid w:val="402D6EED"/>
    <w:rsid w:val="40572BA6"/>
    <w:rsid w:val="40575782"/>
    <w:rsid w:val="405B3D86"/>
    <w:rsid w:val="40987E39"/>
    <w:rsid w:val="41A229C0"/>
    <w:rsid w:val="41FA152C"/>
    <w:rsid w:val="421B5540"/>
    <w:rsid w:val="427F40C3"/>
    <w:rsid w:val="433F51D5"/>
    <w:rsid w:val="4379118C"/>
    <w:rsid w:val="43F1148F"/>
    <w:rsid w:val="440B0F36"/>
    <w:rsid w:val="446E3F52"/>
    <w:rsid w:val="44724F1D"/>
    <w:rsid w:val="448E1E9E"/>
    <w:rsid w:val="44D90FC8"/>
    <w:rsid w:val="44DD285F"/>
    <w:rsid w:val="44F70184"/>
    <w:rsid w:val="45052547"/>
    <w:rsid w:val="45581B60"/>
    <w:rsid w:val="45982D3F"/>
    <w:rsid w:val="466B78DE"/>
    <w:rsid w:val="47755220"/>
    <w:rsid w:val="47B4251A"/>
    <w:rsid w:val="47B61984"/>
    <w:rsid w:val="47CC5B84"/>
    <w:rsid w:val="48224C4E"/>
    <w:rsid w:val="48D47265"/>
    <w:rsid w:val="497A2805"/>
    <w:rsid w:val="49894B23"/>
    <w:rsid w:val="49AD48BF"/>
    <w:rsid w:val="4A212B31"/>
    <w:rsid w:val="4A475B7C"/>
    <w:rsid w:val="4A4C681A"/>
    <w:rsid w:val="4A892E1A"/>
    <w:rsid w:val="4BA75289"/>
    <w:rsid w:val="4CA501B4"/>
    <w:rsid w:val="4CEB6606"/>
    <w:rsid w:val="4DBA64D0"/>
    <w:rsid w:val="4DC01E5E"/>
    <w:rsid w:val="4DE56289"/>
    <w:rsid w:val="4E5308E7"/>
    <w:rsid w:val="4EF2504D"/>
    <w:rsid w:val="4F305F01"/>
    <w:rsid w:val="4FC5637B"/>
    <w:rsid w:val="4FE74116"/>
    <w:rsid w:val="50486FE9"/>
    <w:rsid w:val="505952FE"/>
    <w:rsid w:val="505D4828"/>
    <w:rsid w:val="512637BE"/>
    <w:rsid w:val="51292B01"/>
    <w:rsid w:val="512C578B"/>
    <w:rsid w:val="513F69E1"/>
    <w:rsid w:val="52731D06"/>
    <w:rsid w:val="52962CA8"/>
    <w:rsid w:val="529A7957"/>
    <w:rsid w:val="53EA6F9A"/>
    <w:rsid w:val="53F070C1"/>
    <w:rsid w:val="545D2BA8"/>
    <w:rsid w:val="54A934E9"/>
    <w:rsid w:val="54F44BA6"/>
    <w:rsid w:val="55B4202C"/>
    <w:rsid w:val="55C500DF"/>
    <w:rsid w:val="55DA4CD9"/>
    <w:rsid w:val="56870F30"/>
    <w:rsid w:val="569228A9"/>
    <w:rsid w:val="56F007AB"/>
    <w:rsid w:val="5731633C"/>
    <w:rsid w:val="583140F1"/>
    <w:rsid w:val="58774338"/>
    <w:rsid w:val="5A0B65E0"/>
    <w:rsid w:val="5A4B4D4E"/>
    <w:rsid w:val="5A6C32D7"/>
    <w:rsid w:val="5B854011"/>
    <w:rsid w:val="5BCF629C"/>
    <w:rsid w:val="5C081964"/>
    <w:rsid w:val="5C5D662E"/>
    <w:rsid w:val="5D1B6016"/>
    <w:rsid w:val="5D53233E"/>
    <w:rsid w:val="5D54635C"/>
    <w:rsid w:val="5D5B1B63"/>
    <w:rsid w:val="5D663CA7"/>
    <w:rsid w:val="5E032063"/>
    <w:rsid w:val="5E0C53FA"/>
    <w:rsid w:val="5E3C4F06"/>
    <w:rsid w:val="5EA25936"/>
    <w:rsid w:val="5EA50405"/>
    <w:rsid w:val="5EE34F16"/>
    <w:rsid w:val="5EF55435"/>
    <w:rsid w:val="5EF7417A"/>
    <w:rsid w:val="5F313438"/>
    <w:rsid w:val="5F3A2579"/>
    <w:rsid w:val="5FB546F2"/>
    <w:rsid w:val="5FBE6E63"/>
    <w:rsid w:val="60507E6D"/>
    <w:rsid w:val="6090406B"/>
    <w:rsid w:val="61662F00"/>
    <w:rsid w:val="61B805F3"/>
    <w:rsid w:val="6227137B"/>
    <w:rsid w:val="62750521"/>
    <w:rsid w:val="62E378E6"/>
    <w:rsid w:val="63107C4E"/>
    <w:rsid w:val="64082F38"/>
    <w:rsid w:val="64376585"/>
    <w:rsid w:val="643816EF"/>
    <w:rsid w:val="6442112C"/>
    <w:rsid w:val="646D6FF1"/>
    <w:rsid w:val="64CC3670"/>
    <w:rsid w:val="64E400F0"/>
    <w:rsid w:val="655855F6"/>
    <w:rsid w:val="6574461E"/>
    <w:rsid w:val="65A33A9F"/>
    <w:rsid w:val="65C620D8"/>
    <w:rsid w:val="662919EF"/>
    <w:rsid w:val="662D4756"/>
    <w:rsid w:val="668F0881"/>
    <w:rsid w:val="66EE5EB2"/>
    <w:rsid w:val="67501472"/>
    <w:rsid w:val="67526135"/>
    <w:rsid w:val="676E35D8"/>
    <w:rsid w:val="6770270C"/>
    <w:rsid w:val="67E57609"/>
    <w:rsid w:val="67FC5648"/>
    <w:rsid w:val="68136DF9"/>
    <w:rsid w:val="68467009"/>
    <w:rsid w:val="685A4CFC"/>
    <w:rsid w:val="68835C7D"/>
    <w:rsid w:val="68843869"/>
    <w:rsid w:val="68B056ED"/>
    <w:rsid w:val="68D74AB5"/>
    <w:rsid w:val="69957377"/>
    <w:rsid w:val="6A1D554E"/>
    <w:rsid w:val="6A227A14"/>
    <w:rsid w:val="6A2A1BFB"/>
    <w:rsid w:val="6B230E25"/>
    <w:rsid w:val="6B5F3459"/>
    <w:rsid w:val="6BBD35E1"/>
    <w:rsid w:val="6BD84F85"/>
    <w:rsid w:val="6D186743"/>
    <w:rsid w:val="6D657093"/>
    <w:rsid w:val="6D912D15"/>
    <w:rsid w:val="6DB773DA"/>
    <w:rsid w:val="6F7A7829"/>
    <w:rsid w:val="6F8945E5"/>
    <w:rsid w:val="7000610B"/>
    <w:rsid w:val="701647AB"/>
    <w:rsid w:val="70F449A8"/>
    <w:rsid w:val="71526A6E"/>
    <w:rsid w:val="71E9466D"/>
    <w:rsid w:val="728F5634"/>
    <w:rsid w:val="72DA7BC8"/>
    <w:rsid w:val="732F74F2"/>
    <w:rsid w:val="733629F2"/>
    <w:rsid w:val="73510555"/>
    <w:rsid w:val="736B747C"/>
    <w:rsid w:val="736F3978"/>
    <w:rsid w:val="7377058B"/>
    <w:rsid w:val="739F626B"/>
    <w:rsid w:val="740E42DE"/>
    <w:rsid w:val="7541042C"/>
    <w:rsid w:val="755D5E57"/>
    <w:rsid w:val="758B55DE"/>
    <w:rsid w:val="75AB68F1"/>
    <w:rsid w:val="75D904B6"/>
    <w:rsid w:val="75E80709"/>
    <w:rsid w:val="762B57C5"/>
    <w:rsid w:val="767E3B53"/>
    <w:rsid w:val="77E058FB"/>
    <w:rsid w:val="78071F72"/>
    <w:rsid w:val="786414B4"/>
    <w:rsid w:val="78774C15"/>
    <w:rsid w:val="78827AE1"/>
    <w:rsid w:val="78AE26CF"/>
    <w:rsid w:val="799465E1"/>
    <w:rsid w:val="79A36E38"/>
    <w:rsid w:val="79AD14BA"/>
    <w:rsid w:val="79D35A65"/>
    <w:rsid w:val="79DF4049"/>
    <w:rsid w:val="7A102ABD"/>
    <w:rsid w:val="7A2F2424"/>
    <w:rsid w:val="7B24076C"/>
    <w:rsid w:val="7B764BBF"/>
    <w:rsid w:val="7B7A37E2"/>
    <w:rsid w:val="7B84483F"/>
    <w:rsid w:val="7C1164A2"/>
    <w:rsid w:val="7C5B2870"/>
    <w:rsid w:val="7CB960BC"/>
    <w:rsid w:val="7D3C12C6"/>
    <w:rsid w:val="7D876979"/>
    <w:rsid w:val="7DCB2B8A"/>
    <w:rsid w:val="7DDD21DB"/>
    <w:rsid w:val="7EA24DF3"/>
    <w:rsid w:val="7EAD531F"/>
    <w:rsid w:val="7EB6157B"/>
    <w:rsid w:val="7EC76F8B"/>
    <w:rsid w:val="7ED27CCA"/>
    <w:rsid w:val="7F25430C"/>
    <w:rsid w:val="7F742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EQ"/>
    <w:basedOn w:val="1"/>
    <w:next w:val="1"/>
    <w:qFormat/>
    <w:uiPriority w:val="0"/>
    <w:pPr>
      <w:keepLines/>
      <w:tabs>
        <w:tab w:val="center" w:pos="4536"/>
        <w:tab w:val="right" w:pos="9072"/>
      </w:tabs>
    </w:pPr>
  </w:style>
  <w:style w:type="paragraph" w:customStyle="1" w:styleId="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4">
    <w:name w:val="NO"/>
    <w:basedOn w:val="1"/>
    <w:qFormat/>
    <w:uiPriority w:val="0"/>
    <w:pPr>
      <w:keepLines/>
      <w:ind w:left="1135" w:hanging="851"/>
    </w:pPr>
  </w:style>
  <w:style w:type="character" w:customStyle="1" w:styleId="25">
    <w:name w:val="列表段落 字符"/>
    <w:basedOn w:val="13"/>
    <w:qFormat/>
    <w:uiPriority w:val="0"/>
    <w:rPr>
      <w:rFonts w:hint="default" w:ascii="Century" w:hAnsi="Century" w:eastAsia="Century" w:cs="Century"/>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ww</cp:lastModifiedBy>
  <dcterms:modified xsi:type="dcterms:W3CDTF">2024-08-08T11:17:40Z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